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353" w:type="dxa"/>
        <w:tblLayout w:type="fixed"/>
        <w:tblLook w:val="04A0"/>
      </w:tblPr>
      <w:tblGrid>
        <w:gridCol w:w="817"/>
        <w:gridCol w:w="4536"/>
      </w:tblGrid>
      <w:tr w:rsidR="008E367E">
        <w:trPr>
          <w:trHeight w:val="699"/>
        </w:trPr>
        <w:tc>
          <w:tcPr>
            <w:tcW w:w="817" w:type="dxa"/>
            <w:vAlign w:val="center"/>
          </w:tcPr>
          <w:p w:rsidR="008E367E" w:rsidRDefault="00353752">
            <w:pPr>
              <w:jc w:val="center"/>
              <w:rPr>
                <w:b/>
                <w:sz w:val="28"/>
              </w:rPr>
            </w:pPr>
            <w:r>
              <w:rPr>
                <w:rFonts w:hint="eastAsia"/>
                <w:b/>
                <w:sz w:val="28"/>
              </w:rPr>
              <w:t>项目</w:t>
            </w:r>
          </w:p>
        </w:tc>
        <w:tc>
          <w:tcPr>
            <w:tcW w:w="4536" w:type="dxa"/>
            <w:vAlign w:val="center"/>
          </w:tcPr>
          <w:p w:rsidR="008E367E" w:rsidRDefault="00353752">
            <w:pPr>
              <w:jc w:val="center"/>
              <w:rPr>
                <w:b/>
                <w:sz w:val="28"/>
              </w:rPr>
            </w:pPr>
            <w:r>
              <w:rPr>
                <w:rFonts w:hint="eastAsia"/>
                <w:b/>
                <w:sz w:val="28"/>
              </w:rPr>
              <w:t>招标要求</w:t>
            </w:r>
          </w:p>
        </w:tc>
      </w:tr>
      <w:tr w:rsidR="008E367E">
        <w:trPr>
          <w:trHeight w:val="717"/>
        </w:trPr>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提供投标型号球管的原版技术白皮书（DATA SHEET），且以下应标参数均以此技术白皮书为准</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阳极热容量：2.0 MHU（2000 KHU）</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管套热容量≥3.4 MHU</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单焦点球管，GE品牌</w:t>
            </w:r>
            <w:bookmarkStart w:id="0" w:name="_GoBack"/>
            <w:bookmarkEnd w:id="0"/>
          </w:p>
        </w:tc>
      </w:tr>
      <w:tr w:rsidR="008E367E">
        <w:tc>
          <w:tcPr>
            <w:tcW w:w="817" w:type="dxa"/>
            <w:vAlign w:val="center"/>
          </w:tcPr>
          <w:p w:rsidR="008E367E" w:rsidRDefault="008E367E">
            <w:pPr>
              <w:pStyle w:val="1"/>
              <w:numPr>
                <w:ilvl w:val="0"/>
                <w:numId w:val="1"/>
              </w:numPr>
              <w:spacing w:after="240"/>
              <w:ind w:firstLineChars="0"/>
              <w:rPr>
                <w:rFonts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焦点尺寸（IEC 336/1993）： 0.7mm*0.6mm；</w:t>
            </w:r>
          </w:p>
        </w:tc>
      </w:tr>
      <w:tr w:rsidR="008E367E">
        <w:tc>
          <w:tcPr>
            <w:tcW w:w="817" w:type="dxa"/>
            <w:vAlign w:val="center"/>
          </w:tcPr>
          <w:p w:rsidR="008E367E" w:rsidRDefault="008E367E">
            <w:pPr>
              <w:pStyle w:val="1"/>
              <w:numPr>
                <w:ilvl w:val="0"/>
                <w:numId w:val="1"/>
              </w:numPr>
              <w:spacing w:after="240"/>
              <w:ind w:firstLineChars="0"/>
              <w:rPr>
                <w:rFonts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焦点最大功率要求≥24KW</w:t>
            </w:r>
          </w:p>
        </w:tc>
      </w:tr>
      <w:tr w:rsidR="008E367E">
        <w:trPr>
          <w:trHeight w:val="1577"/>
        </w:trPr>
        <w:tc>
          <w:tcPr>
            <w:tcW w:w="817" w:type="dxa"/>
            <w:vAlign w:val="center"/>
          </w:tcPr>
          <w:p w:rsidR="008E367E" w:rsidRDefault="008E367E">
            <w:pPr>
              <w:pStyle w:val="1"/>
              <w:numPr>
                <w:ilvl w:val="0"/>
                <w:numId w:val="1"/>
              </w:numPr>
              <w:spacing w:after="240"/>
              <w:ind w:firstLineChars="0"/>
              <w:rPr>
                <w:rFonts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焦点最大功率可持续时间要求≥28.5S</w:t>
            </w:r>
          </w:p>
        </w:tc>
      </w:tr>
      <w:tr w:rsidR="008E367E">
        <w:tc>
          <w:tcPr>
            <w:tcW w:w="817" w:type="dxa"/>
            <w:vAlign w:val="center"/>
          </w:tcPr>
          <w:p w:rsidR="008E367E" w:rsidRDefault="008E367E">
            <w:pPr>
              <w:pStyle w:val="1"/>
              <w:numPr>
                <w:ilvl w:val="0"/>
                <w:numId w:val="1"/>
              </w:numPr>
              <w:spacing w:after="240"/>
              <w:ind w:firstLineChars="0"/>
              <w:rPr>
                <w:rFonts w:cs="Times New Roman"/>
                <w:color w:val="000000" w:themeColor="text1"/>
                <w:sz w:val="24"/>
                <w:szCs w:val="20"/>
              </w:rPr>
            </w:pPr>
          </w:p>
        </w:tc>
        <w:tc>
          <w:tcPr>
            <w:tcW w:w="4536" w:type="dxa"/>
            <w:vAlign w:val="center"/>
          </w:tcPr>
          <w:p w:rsidR="008E367E" w:rsidRDefault="00353752">
            <w:pPr>
              <w:spacing w:after="240"/>
              <w:rPr>
                <w:rFonts w:asciiTheme="minorEastAsia" w:hAnsiTheme="minorEastAsia"/>
                <w:color w:val="000000" w:themeColor="text1"/>
              </w:rPr>
            </w:pPr>
            <w:r>
              <w:rPr>
                <w:rFonts w:asciiTheme="minorEastAsia" w:hAnsiTheme="minorEastAsia" w:hint="eastAsia"/>
                <w:color w:val="000000" w:themeColor="text1"/>
              </w:rPr>
              <w:t>球管最大设计电压≥190KV</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球管最大额定电压≥140KV</w:t>
            </w:r>
          </w:p>
        </w:tc>
      </w:tr>
      <w:tr w:rsidR="008E367E">
        <w:tc>
          <w:tcPr>
            <w:tcW w:w="817" w:type="dxa"/>
            <w:vAlign w:val="center"/>
          </w:tcPr>
          <w:p w:rsidR="008E367E" w:rsidRDefault="00353752">
            <w:pPr>
              <w:pStyle w:val="1"/>
              <w:numPr>
                <w:ilvl w:val="0"/>
                <w:numId w:val="1"/>
              </w:numPr>
              <w:spacing w:after="240"/>
              <w:ind w:firstLineChars="0"/>
              <w:rPr>
                <w:rFonts w:ascii="Times New Roman" w:eastAsia="宋体" w:hAnsi="Times New Roman" w:cs="Times New Roman"/>
                <w:sz w:val="20"/>
                <w:szCs w:val="20"/>
              </w:rPr>
            </w:pPr>
            <w:r>
              <w:rPr>
                <w:rFonts w:cs="Times New Roman" w:hint="eastAsia"/>
                <w:color w:val="FF0000"/>
                <w:sz w:val="28"/>
                <w:szCs w:val="20"/>
              </w:rPr>
              <w:t>*</w:t>
            </w: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阳极最大散热率≥500KHU/MIN</w:t>
            </w:r>
          </w:p>
        </w:tc>
      </w:tr>
      <w:tr w:rsidR="008E367E">
        <w:tc>
          <w:tcPr>
            <w:tcW w:w="817" w:type="dxa"/>
            <w:vAlign w:val="center"/>
          </w:tcPr>
          <w:p w:rsidR="008E367E" w:rsidRDefault="00353752">
            <w:pPr>
              <w:pStyle w:val="1"/>
              <w:numPr>
                <w:ilvl w:val="0"/>
                <w:numId w:val="1"/>
              </w:numPr>
              <w:spacing w:after="240"/>
              <w:ind w:firstLineChars="0"/>
              <w:rPr>
                <w:rFonts w:ascii="Times New Roman" w:eastAsia="宋体" w:hAnsi="Times New Roman" w:cs="Times New Roman"/>
                <w:sz w:val="20"/>
                <w:szCs w:val="20"/>
              </w:rPr>
            </w:pPr>
            <w:r>
              <w:rPr>
                <w:rFonts w:cs="Times New Roman" w:hint="eastAsia"/>
                <w:color w:val="FF0000"/>
                <w:sz w:val="28"/>
                <w:szCs w:val="20"/>
              </w:rPr>
              <w:t>*</w:t>
            </w:r>
          </w:p>
        </w:tc>
        <w:tc>
          <w:tcPr>
            <w:tcW w:w="4536" w:type="dxa"/>
            <w:vAlign w:val="center"/>
          </w:tcPr>
          <w:p w:rsidR="008E367E" w:rsidRDefault="00353752">
            <w:pPr>
              <w:spacing w:after="240"/>
              <w:rPr>
                <w:rFonts w:asciiTheme="minorEastAsia" w:hAnsiTheme="minorEastAsia"/>
              </w:rPr>
            </w:pPr>
            <w:r>
              <w:rPr>
                <w:rFonts w:hint="eastAsia"/>
              </w:rPr>
              <w:t>必须提供一分钟阳极平均散热率，需要</w:t>
            </w:r>
            <w:r>
              <w:rPr>
                <w:rFonts w:asciiTheme="minorEastAsia" w:hAnsiTheme="minorEastAsia" w:hint="eastAsia"/>
              </w:rPr>
              <w:t>≥325KHU/MIN</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阳极靶面角度：7度</w:t>
            </w:r>
          </w:p>
        </w:tc>
      </w:tr>
      <w:tr w:rsidR="008E367E">
        <w:tc>
          <w:tcPr>
            <w:tcW w:w="817" w:type="dxa"/>
            <w:vAlign w:val="center"/>
          </w:tcPr>
          <w:p w:rsidR="008E367E" w:rsidRDefault="008E367E">
            <w:pPr>
              <w:pStyle w:val="1"/>
              <w:numPr>
                <w:ilvl w:val="0"/>
                <w:numId w:val="1"/>
              </w:numPr>
              <w:spacing w:after="240"/>
              <w:ind w:firstLineChars="0"/>
              <w:rPr>
                <w:rFonts w:ascii="Times New Roman" w:eastAsia="宋体" w:hAnsi="Times New Roman" w:cs="Times New Roman"/>
                <w:sz w:val="20"/>
                <w:szCs w:val="20"/>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阳极靶面直径≥135mm</w:t>
            </w:r>
          </w:p>
        </w:tc>
      </w:tr>
      <w:tr w:rsidR="008E367E">
        <w:tc>
          <w:tcPr>
            <w:tcW w:w="817" w:type="dxa"/>
            <w:vAlign w:val="center"/>
          </w:tcPr>
          <w:p w:rsidR="008E367E" w:rsidRDefault="00353752">
            <w:pPr>
              <w:pStyle w:val="1"/>
              <w:numPr>
                <w:ilvl w:val="0"/>
                <w:numId w:val="1"/>
              </w:numPr>
              <w:spacing w:after="240"/>
              <w:ind w:firstLineChars="0"/>
              <w:rPr>
                <w:rFonts w:ascii="Times New Roman" w:eastAsia="宋体" w:hAnsi="Times New Roman" w:cs="Times New Roman"/>
                <w:sz w:val="20"/>
                <w:szCs w:val="20"/>
              </w:rPr>
            </w:pPr>
            <w:r>
              <w:rPr>
                <w:rFonts w:cs="Times New Roman" w:hint="eastAsia"/>
                <w:color w:val="FF0000"/>
                <w:sz w:val="28"/>
                <w:szCs w:val="20"/>
              </w:rPr>
              <w:t>*</w:t>
            </w: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须提供最小阳极转速参数，且需要小于等于8000RPM （以DATASHEET技术白皮书为准）</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投标人或授权投标人的厂商在我省有长期稳定的服务机构</w:t>
            </w:r>
          </w:p>
        </w:tc>
      </w:tr>
      <w:tr w:rsidR="008E367E">
        <w:tc>
          <w:tcPr>
            <w:tcW w:w="817" w:type="dxa"/>
            <w:vAlign w:val="center"/>
          </w:tcPr>
          <w:p w:rsidR="008E367E" w:rsidRDefault="00353752">
            <w:pPr>
              <w:pStyle w:val="1"/>
              <w:numPr>
                <w:ilvl w:val="0"/>
                <w:numId w:val="1"/>
              </w:numPr>
              <w:spacing w:after="240"/>
              <w:ind w:firstLineChars="0"/>
            </w:pPr>
            <w:r>
              <w:rPr>
                <w:rFonts w:cs="Times New Roman" w:hint="eastAsia"/>
                <w:color w:val="FF0000"/>
                <w:sz w:val="28"/>
                <w:szCs w:val="20"/>
              </w:rPr>
              <w:t>*</w:t>
            </w: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投标人或授权投标人的厂商在省内服务机构需配备有至少两名全职的、CT厂家认证的工程师，需提供当年更新并在有效期内的资质证明</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投标人或授权投标人的厂商需提供医疗器械维修ISO9001及ISO13485认证证书</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投标人或授权投标人的厂商提供CT原厂的</w:t>
            </w:r>
            <w:r>
              <w:rPr>
                <w:rFonts w:asciiTheme="minorEastAsia" w:hAnsiTheme="minorEastAsia"/>
              </w:rPr>
              <w:t>InSite</w:t>
            </w:r>
            <w:r>
              <w:rPr>
                <w:rFonts w:asciiTheme="minorEastAsia" w:hAnsiTheme="minorEastAsia"/>
                <w:vertAlign w:val="superscript"/>
              </w:rPr>
              <w:t>TM</w:t>
            </w:r>
            <w:r>
              <w:rPr>
                <w:rFonts w:asciiTheme="minorEastAsia" w:hAnsiTheme="minorEastAsia" w:hint="eastAsia"/>
              </w:rPr>
              <w:t>数字化远程故障筛排系统，提前预知CT整机及球管的问题，帮医院提早做计划，无计划外停机。</w:t>
            </w:r>
          </w:p>
        </w:tc>
      </w:tr>
      <w:tr w:rsidR="008E367E">
        <w:tc>
          <w:tcPr>
            <w:tcW w:w="817" w:type="dxa"/>
            <w:vAlign w:val="center"/>
          </w:tcPr>
          <w:p w:rsidR="008E367E" w:rsidRDefault="008E367E">
            <w:pPr>
              <w:pStyle w:val="1"/>
              <w:numPr>
                <w:ilvl w:val="0"/>
                <w:numId w:val="1"/>
              </w:numPr>
              <w:spacing w:after="240"/>
              <w:ind w:firstLineChars="0"/>
              <w:rPr>
                <w:rFonts w:asciiTheme="minorEastAsia" w:hAnsiTheme="minorEastAsia"/>
              </w:rPr>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投标人或授权投标人的厂商提供基于宽带接入的、可动态远程监测标的设备温湿度实时曲线的软件及硬件,具备对标的设备的电气环境进行24小时实时监测能力</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显示标的设备的24小时实时动态的球管异常打火次数，球管使用量等</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投标人或授权投标人的厂商维修工程师拥有全套原厂诊断软件，并保证能够解决所有需要原厂service key才能解决的设备故障</w:t>
            </w:r>
          </w:p>
        </w:tc>
      </w:tr>
      <w:tr w:rsidR="008E367E">
        <w:tc>
          <w:tcPr>
            <w:tcW w:w="817" w:type="dxa"/>
            <w:vAlign w:val="center"/>
          </w:tcPr>
          <w:p w:rsidR="008E367E" w:rsidRDefault="008E367E">
            <w:pPr>
              <w:pStyle w:val="1"/>
              <w:numPr>
                <w:ilvl w:val="0"/>
                <w:numId w:val="1"/>
              </w:numPr>
              <w:spacing w:after="240"/>
              <w:ind w:firstLineChars="0"/>
            </w:pPr>
          </w:p>
        </w:tc>
        <w:tc>
          <w:tcPr>
            <w:tcW w:w="4536" w:type="dxa"/>
            <w:vAlign w:val="center"/>
          </w:tcPr>
          <w:p w:rsidR="008E367E" w:rsidRDefault="00353752">
            <w:pPr>
              <w:spacing w:after="240"/>
              <w:rPr>
                <w:rFonts w:asciiTheme="minorEastAsia" w:hAnsiTheme="minorEastAsia"/>
              </w:rPr>
            </w:pPr>
            <w:r>
              <w:rPr>
                <w:rFonts w:asciiTheme="minorEastAsia" w:hAnsiTheme="minorEastAsia" w:hint="eastAsia"/>
              </w:rPr>
              <w:t>投标人或授权投标人的厂商提供能及时获取并实施原厂系统安全性软硬件改版通知(FMI)能力的证明，保修期内免费提供设备（含独立工作站）的系统软件升级补丁和技术支持，保证所有系统软件为最新版本。</w:t>
            </w:r>
          </w:p>
        </w:tc>
      </w:tr>
    </w:tbl>
    <w:p w:rsidR="008E367E" w:rsidRDefault="008E367E"/>
    <w:sectPr w:rsidR="008E367E" w:rsidSect="00403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718" w:rsidRDefault="00527718" w:rsidP="000325BB">
      <w:r>
        <w:separator/>
      </w:r>
    </w:p>
  </w:endnote>
  <w:endnote w:type="continuationSeparator" w:id="1">
    <w:p w:rsidR="00527718" w:rsidRDefault="00527718" w:rsidP="0003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718" w:rsidRDefault="00527718" w:rsidP="000325BB">
      <w:r>
        <w:separator/>
      </w:r>
    </w:p>
  </w:footnote>
  <w:footnote w:type="continuationSeparator" w:id="1">
    <w:p w:rsidR="00527718" w:rsidRDefault="00527718" w:rsidP="00032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D78BE"/>
    <w:multiLevelType w:val="multilevel"/>
    <w:tmpl w:val="467D78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67E"/>
    <w:rsid w:val="000325BB"/>
    <w:rsid w:val="00353752"/>
    <w:rsid w:val="00403DD9"/>
    <w:rsid w:val="00527718"/>
    <w:rsid w:val="008E3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3DD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03DD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03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03DD9"/>
    <w:rPr>
      <w:sz w:val="18"/>
      <w:szCs w:val="18"/>
    </w:rPr>
  </w:style>
  <w:style w:type="character" w:customStyle="1" w:styleId="Char">
    <w:name w:val="页脚 Char"/>
    <w:basedOn w:val="a0"/>
    <w:link w:val="a3"/>
    <w:uiPriority w:val="99"/>
    <w:qFormat/>
    <w:rsid w:val="00403DD9"/>
    <w:rPr>
      <w:sz w:val="18"/>
      <w:szCs w:val="18"/>
    </w:rPr>
  </w:style>
  <w:style w:type="paragraph" w:customStyle="1" w:styleId="1">
    <w:name w:val="列出段落1"/>
    <w:basedOn w:val="a"/>
    <w:uiPriority w:val="34"/>
    <w:qFormat/>
    <w:rsid w:val="00403DD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GE</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 (GE Healthcare)</dc:creator>
  <cp:lastModifiedBy>Administrator</cp:lastModifiedBy>
  <cp:revision>2</cp:revision>
  <dcterms:created xsi:type="dcterms:W3CDTF">2021-07-21T06:42:00Z</dcterms:created>
  <dcterms:modified xsi:type="dcterms:W3CDTF">2021-07-21T06:42:00Z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2CD08E4C571D2B1AB540F6607DFAD27C</vt:lpwstr>
  </property>
  <property fmtid="{D5CDD505-2E9C-101B-9397-08002B2CF9AE}" pid="3" name="KSOProductBuildVer">
    <vt:lpwstr>2052-11.11.1</vt:lpwstr>
  </property>
</Properties>
</file>